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7B" w:rsidRPr="006935C3" w:rsidRDefault="00916B7B" w:rsidP="006935C3">
      <w:pPr>
        <w:rPr>
          <w:i/>
          <w:sz w:val="16"/>
          <w:szCs w:val="16"/>
          <w:lang w:val="en-GB"/>
        </w:rPr>
      </w:pPr>
    </w:p>
    <w:p w:rsidR="00916B7B" w:rsidRPr="00EE2575" w:rsidRDefault="00916B7B" w:rsidP="00916B7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916B7B" w:rsidRPr="00EE2575" w:rsidRDefault="00916B7B" w:rsidP="00916B7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916B7B" w:rsidRPr="00EE2575" w:rsidTr="009E7916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6B7B" w:rsidRPr="000B7E68" w:rsidRDefault="00916B7B" w:rsidP="000B7E68">
            <w:pPr>
              <w:jc w:val="center"/>
              <w:rPr>
                <w:rFonts w:ascii="Roboto" w:hAnsi="Roboto" w:cs="Calibri"/>
                <w:color w:val="000000"/>
                <w:lang w:val="en-US" w:eastAsia="en-US"/>
              </w:rPr>
            </w:pPr>
            <w:r>
              <w:rPr>
                <w:rFonts w:ascii="Roboto" w:hAnsi="Roboto" w:cs="Calibri"/>
                <w:color w:val="000000"/>
                <w:sz w:val="22"/>
                <w:szCs w:val="22"/>
              </w:rPr>
              <w:t>0912-7LEK-C9.4-I</w:t>
            </w:r>
          </w:p>
        </w:tc>
      </w:tr>
      <w:tr w:rsidR="00916B7B" w:rsidRPr="00EE2575" w:rsidTr="009E7916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jc w:val="center"/>
              <w:rPr>
                <w:b/>
                <w:lang w:val="en-GB"/>
              </w:rPr>
            </w:pPr>
            <w:bookmarkStart w:id="0" w:name="_Toc445720337"/>
            <w:bookmarkStart w:id="1" w:name="_Toc462293159"/>
            <w:bookmarkStart w:id="2" w:name="_Toc462294452"/>
            <w:r w:rsidRPr="00916B7B">
              <w:rPr>
                <w:b/>
              </w:rPr>
              <w:t>Choroby wewnętrzne – praktyki wakacyjne</w:t>
            </w:r>
            <w:bookmarkEnd w:id="0"/>
            <w:bookmarkEnd w:id="1"/>
            <w:bookmarkEnd w:id="2"/>
          </w:p>
        </w:tc>
      </w:tr>
      <w:tr w:rsidR="00916B7B" w:rsidRPr="00EC12AF" w:rsidTr="009E7916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jc w:val="center"/>
              <w:rPr>
                <w:b/>
                <w:lang w:val="en-GB"/>
              </w:rPr>
            </w:pPr>
            <w:r w:rsidRPr="00916B7B">
              <w:rPr>
                <w:b/>
                <w:lang w:val="en-US"/>
              </w:rPr>
              <w:t>Internal diseases - holiday work placement</w:t>
            </w:r>
          </w:p>
        </w:tc>
      </w:tr>
    </w:tbl>
    <w:p w:rsidR="00916B7B" w:rsidRPr="00EE2575" w:rsidRDefault="00916B7B" w:rsidP="00916B7B">
      <w:pPr>
        <w:rPr>
          <w:b/>
          <w:lang w:val="en-GB"/>
        </w:rPr>
      </w:pPr>
    </w:p>
    <w:p w:rsidR="00916B7B" w:rsidRPr="00EE2575" w:rsidRDefault="00916B7B" w:rsidP="00916B7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916B7B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916B7B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916B7B" w:rsidRPr="00EE2575" w:rsidTr="009E791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916B7B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916B7B" w:rsidRPr="00EE2575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BF54B3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916B7B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US"/>
              </w:rPr>
              <w:t xml:space="preserve">prof. dr hab. n. med. Marianna </w:t>
            </w:r>
            <w:proofErr w:type="spellStart"/>
            <w:r w:rsidRPr="00916B7B">
              <w:rPr>
                <w:sz w:val="20"/>
                <w:szCs w:val="20"/>
                <w:lang w:val="en-US"/>
              </w:rPr>
              <w:t>Janion</w:t>
            </w:r>
            <w:proofErr w:type="spellEnd"/>
          </w:p>
        </w:tc>
      </w:tr>
      <w:tr w:rsidR="00916B7B" w:rsidRPr="00EC12AF" w:rsidTr="009E791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BF54B3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916B7B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wnoz_ipp@ujk.edu.pl</w:t>
            </w:r>
          </w:p>
        </w:tc>
      </w:tr>
    </w:tbl>
    <w:p w:rsidR="00916B7B" w:rsidRPr="00EE2575" w:rsidRDefault="00916B7B" w:rsidP="00916B7B">
      <w:pPr>
        <w:rPr>
          <w:b/>
          <w:sz w:val="20"/>
          <w:szCs w:val="20"/>
          <w:lang w:val="en-GB"/>
        </w:rPr>
      </w:pPr>
    </w:p>
    <w:p w:rsidR="00916B7B" w:rsidRPr="00EE2575" w:rsidRDefault="00916B7B" w:rsidP="00916B7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916B7B" w:rsidRPr="00EE2575" w:rsidTr="009E791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BF54B3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916B7B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 xml:space="preserve">English </w:t>
            </w:r>
          </w:p>
        </w:tc>
      </w:tr>
      <w:tr w:rsidR="00916B7B" w:rsidRPr="00EC12AF" w:rsidTr="009E791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BF54B3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916B7B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916B7B" w:rsidRDefault="00916B7B" w:rsidP="009E7916">
            <w:pPr>
              <w:snapToGrid w:val="0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US"/>
              </w:rPr>
              <w:t>Passing classes with internal diseases</w:t>
            </w:r>
          </w:p>
        </w:tc>
      </w:tr>
    </w:tbl>
    <w:p w:rsidR="00916B7B" w:rsidRPr="00EE2575" w:rsidRDefault="00916B7B" w:rsidP="00916B7B">
      <w:pPr>
        <w:rPr>
          <w:b/>
          <w:sz w:val="20"/>
          <w:szCs w:val="20"/>
          <w:lang w:val="en-GB"/>
        </w:rPr>
      </w:pPr>
    </w:p>
    <w:p w:rsidR="00916B7B" w:rsidRPr="00EE2575" w:rsidRDefault="00916B7B" w:rsidP="00916B7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916B7B" w:rsidRPr="00EE2575" w:rsidTr="009E791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EE2575" w:rsidRDefault="00916B7B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Summer internships</w:t>
            </w:r>
          </w:p>
        </w:tc>
      </w:tr>
      <w:tr w:rsidR="00916B7B" w:rsidRPr="00EC12AF" w:rsidTr="009E791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5E6967" w:rsidRDefault="00916B7B" w:rsidP="00916B7B">
            <w:pPr>
              <w:tabs>
                <w:tab w:val="center" w:pos="2623"/>
              </w:tabs>
              <w:rPr>
                <w:sz w:val="20"/>
                <w:szCs w:val="20"/>
                <w:lang w:val="en-US"/>
              </w:rPr>
            </w:pPr>
            <w:r w:rsidRPr="005E6967">
              <w:rPr>
                <w:color w:val="000000"/>
                <w:sz w:val="20"/>
                <w:szCs w:val="20"/>
                <w:lang w:val="en-US"/>
              </w:rPr>
              <w:t>Learning practical skills in a clinical environment</w:t>
            </w:r>
          </w:p>
        </w:tc>
      </w:tr>
      <w:tr w:rsidR="00916B7B" w:rsidRPr="00EE2575" w:rsidTr="009E7916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Credit with grade</w:t>
            </w:r>
          </w:p>
        </w:tc>
      </w:tr>
      <w:tr w:rsidR="00916B7B" w:rsidRPr="00EE2575" w:rsidTr="009E7916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Case study</w:t>
            </w:r>
          </w:p>
        </w:tc>
      </w:tr>
      <w:tr w:rsidR="00916B7B" w:rsidRPr="00EE2575" w:rsidTr="009E7916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5E6967" w:rsidRDefault="00916B7B" w:rsidP="00916B7B">
            <w:pPr>
              <w:ind w:left="139" w:hanging="138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1. Harrison's Principles of Internal Medicine, Vol. 1 &amp; Vol. 2; 19th Edition. Authors: Longo, Dan; </w:t>
            </w:r>
            <w:proofErr w:type="spellStart"/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Fauci</w:t>
            </w:r>
            <w:proofErr w:type="spellEnd"/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, Anthony; Jameson, J.; Hauser, Stephen; Kasper, Dennis; </w:t>
            </w:r>
            <w:proofErr w:type="spellStart"/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Loscalzo</w:t>
            </w:r>
            <w:proofErr w:type="spellEnd"/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, Joseph;</w:t>
            </w:r>
          </w:p>
          <w:p w:rsidR="00916B7B" w:rsidRPr="00916B7B" w:rsidRDefault="00916B7B" w:rsidP="00916B7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E6967">
              <w:rPr>
                <w:rFonts w:eastAsia="Calibri"/>
                <w:sz w:val="20"/>
                <w:szCs w:val="20"/>
                <w:lang w:eastAsia="en-US"/>
              </w:rPr>
              <w:t xml:space="preserve">2.Podstawy badania klinicznego / Basics in </w:t>
            </w:r>
            <w:proofErr w:type="spellStart"/>
            <w:r w:rsidRPr="005E6967">
              <w:rPr>
                <w:rFonts w:eastAsia="Calibri"/>
                <w:sz w:val="20"/>
                <w:szCs w:val="20"/>
                <w:lang w:eastAsia="en-US"/>
              </w:rPr>
              <w:t>Clinical</w:t>
            </w:r>
            <w:proofErr w:type="spellEnd"/>
            <w:r w:rsidR="00E83D8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E6967">
              <w:rPr>
                <w:rFonts w:eastAsia="Calibri"/>
                <w:sz w:val="20"/>
                <w:szCs w:val="20"/>
                <w:lang w:eastAsia="en-US"/>
              </w:rPr>
              <w:t>Examination</w:t>
            </w:r>
            <w:proofErr w:type="spellEnd"/>
            <w:r w:rsidRPr="005E6967">
              <w:rPr>
                <w:rFonts w:eastAsia="Calibri"/>
                <w:sz w:val="20"/>
                <w:szCs w:val="20"/>
                <w:lang w:eastAsia="en-US"/>
              </w:rPr>
              <w:t>. Piotr Zaborowski. 2016</w:t>
            </w:r>
          </w:p>
        </w:tc>
      </w:tr>
      <w:tr w:rsidR="00916B7B" w:rsidRPr="00EC12AF" w:rsidTr="009E7916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7B" w:rsidRPr="00EE2575" w:rsidRDefault="00916B7B" w:rsidP="00916B7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7B" w:rsidRPr="005E6967" w:rsidRDefault="00916B7B" w:rsidP="00916B7B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1.Kumar and Clark's Clinical Medicine, 8th or  9th Edition by </w:t>
            </w:r>
            <w:proofErr w:type="spellStart"/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Parveen</w:t>
            </w:r>
            <w:proofErr w:type="spellEnd"/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Kumar, Michael L Clark.</w:t>
            </w:r>
          </w:p>
          <w:p w:rsidR="00916B7B" w:rsidRPr="00916B7B" w:rsidRDefault="00916B7B" w:rsidP="00916B7B">
            <w:pPr>
              <w:ind w:left="139" w:hanging="139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2.Bates' Guide to Physical Examination and History-Taking  by Lynn Bickley, Lippincott Williams &amp; Wilkins 2012</w:t>
            </w:r>
          </w:p>
        </w:tc>
      </w:tr>
    </w:tbl>
    <w:p w:rsidR="00916B7B" w:rsidRPr="00EE2575" w:rsidRDefault="00916B7B" w:rsidP="00916B7B">
      <w:pPr>
        <w:rPr>
          <w:b/>
          <w:sz w:val="20"/>
          <w:szCs w:val="20"/>
          <w:lang w:val="en-GB"/>
        </w:rPr>
      </w:pPr>
    </w:p>
    <w:p w:rsidR="00916B7B" w:rsidRPr="00EE2575" w:rsidRDefault="00916B7B" w:rsidP="00916B7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16B7B" w:rsidRPr="00EE2575" w:rsidTr="009E791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B7B" w:rsidRPr="00EE2575" w:rsidRDefault="00916B7B" w:rsidP="009E7916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</w:t>
            </w:r>
            <w:r>
              <w:rPr>
                <w:b/>
                <w:i/>
                <w:sz w:val="16"/>
                <w:szCs w:val="16"/>
                <w:lang w:val="en-GB"/>
              </w:rPr>
              <w:t>practice)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 xml:space="preserve">Knowledge transfer in the field of internal medicine 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Preparing the student to: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•</w:t>
            </w:r>
            <w:r w:rsidRPr="00916B7B">
              <w:rPr>
                <w:sz w:val="20"/>
                <w:szCs w:val="20"/>
                <w:lang w:val="en-GB"/>
              </w:rPr>
              <w:tab/>
              <w:t xml:space="preserve">independent planning a diagnostic procedure and interpreting its results; 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•</w:t>
            </w:r>
            <w:r w:rsidRPr="00916B7B">
              <w:rPr>
                <w:sz w:val="20"/>
                <w:szCs w:val="20"/>
                <w:lang w:val="en-GB"/>
              </w:rPr>
              <w:tab/>
              <w:t xml:space="preserve">conducting a differential diagnosis 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•</w:t>
            </w:r>
            <w:r w:rsidRPr="00916B7B">
              <w:rPr>
                <w:sz w:val="20"/>
                <w:szCs w:val="20"/>
                <w:lang w:val="en-GB"/>
              </w:rPr>
              <w:tab/>
              <w:t>planning therapeutic procedure and predicting the consequences of the actions planned in hospital and ambulatory environment.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 xml:space="preserve">Building practical skills in the field of interviewing, physical examination, internal medicine symptomatology, conducting basic diagnostic tests 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Development of attitude: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•</w:t>
            </w:r>
            <w:r w:rsidRPr="00916B7B">
              <w:rPr>
                <w:sz w:val="20"/>
                <w:szCs w:val="20"/>
                <w:lang w:val="en-GB"/>
              </w:rPr>
              <w:tab/>
              <w:t xml:space="preserve"> in relationships: doctor – patient, doctor – therapeutic team </w:t>
            </w:r>
          </w:p>
          <w:p w:rsidR="00916B7B" w:rsidRPr="00916B7B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•</w:t>
            </w:r>
            <w:r w:rsidRPr="00916B7B">
              <w:rPr>
                <w:sz w:val="20"/>
                <w:szCs w:val="20"/>
                <w:lang w:val="en-GB"/>
              </w:rPr>
              <w:tab/>
              <w:t xml:space="preserve">ethical attitude according to ethical rules </w:t>
            </w:r>
          </w:p>
          <w:p w:rsidR="00916B7B" w:rsidRPr="00EE2575" w:rsidRDefault="00916B7B" w:rsidP="00916B7B">
            <w:pPr>
              <w:ind w:left="356"/>
              <w:rPr>
                <w:sz w:val="20"/>
                <w:szCs w:val="20"/>
                <w:lang w:val="en-GB"/>
              </w:rPr>
            </w:pPr>
            <w:r w:rsidRPr="00916B7B">
              <w:rPr>
                <w:sz w:val="20"/>
                <w:szCs w:val="20"/>
                <w:lang w:val="en-GB"/>
              </w:rPr>
              <w:t>complying with legal regulations</w:t>
            </w:r>
          </w:p>
        </w:tc>
      </w:tr>
      <w:tr w:rsidR="00916B7B" w:rsidRPr="00EC12AF" w:rsidTr="009E7916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B7B" w:rsidRPr="00711B52" w:rsidRDefault="00916B7B" w:rsidP="009E7916">
            <w:pPr>
              <w:numPr>
                <w:ilvl w:val="1"/>
                <w:numId w:val="1"/>
              </w:numPr>
              <w:snapToGrid w:val="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Detailed syllabus </w:t>
            </w:r>
            <w:r w:rsidRPr="00711B52">
              <w:rPr>
                <w:b/>
                <w:color w:val="000000" w:themeColor="text1"/>
                <w:sz w:val="16"/>
                <w:szCs w:val="16"/>
                <w:lang w:val="en-GB"/>
              </w:rPr>
              <w:t>(</w:t>
            </w:r>
            <w:r w:rsidR="00711B52">
              <w:rPr>
                <w:b/>
                <w:color w:val="000000" w:themeColor="text1"/>
                <w:sz w:val="16"/>
                <w:szCs w:val="16"/>
                <w:lang w:val="en-GB"/>
              </w:rPr>
              <w:t>practice)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1.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Student takes medical history from adult patient and performance full physical examin</w:t>
            </w:r>
            <w:r w:rsidR="00E83D8A">
              <w:rPr>
                <w:color w:val="000000" w:themeColor="text1"/>
                <w:sz w:val="20"/>
                <w:szCs w:val="20"/>
                <w:lang w:val="en-GB"/>
              </w:rPr>
              <w:t>a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tion.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2.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Evaluates and describing the somatic and psychiatric patients state.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3.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Evaluates and describing the somatic and psychiatric patients state.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4.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Student recognizes life-threatening conditions and alcohol, narcotics and other drug abuse.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5.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 xml:space="preserve">Student plans diagnostic, therapeutic and preventive procedures. </w:t>
            </w:r>
            <w:proofErr w:type="spellStart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Analyze</w:t>
            </w:r>
            <w:proofErr w:type="spellEnd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 xml:space="preserve"> possible side effects of therapy and  drug interactions. Proposes individualization of actual guidelines and another treatment in case of non-response to drug. Student qualifies patie</w:t>
            </w:r>
            <w:r w:rsidR="00E83D8A">
              <w:rPr>
                <w:color w:val="000000" w:themeColor="text1"/>
                <w:sz w:val="20"/>
                <w:szCs w:val="20"/>
                <w:lang w:val="en-GB"/>
              </w:rPr>
              <w:t>nts to hos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pital treatment.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6.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Interprets laboratory test results and identifies cause of abnormalities.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7.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Student plans a clinical nutrition (including enteral admi</w:t>
            </w:r>
            <w:r w:rsidR="00E83D8A">
              <w:rPr>
                <w:color w:val="000000" w:themeColor="text1"/>
                <w:sz w:val="20"/>
                <w:szCs w:val="20"/>
                <w:lang w:val="en-GB"/>
              </w:rPr>
              <w:t>nistration and parenteral nutri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tion). Plans a procedures in case of possible blood-transmitted infection.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8.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Student takes samples for various laboratory tests.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9.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Performs main doctor’s procedures: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lastRenderedPageBreak/>
              <w:t>a)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measurements of body temperature, pulse rate, blood pressure and respiration rate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b)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monitoring of vital parameters by a cardiac monitor and heart rate monitor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c)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performing spirometry test, oxygen treatment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d)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using oropharyngeal airway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e)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 xml:space="preserve">subcutaneous, intravenous, intramuscular injection, getting venous </w:t>
            </w:r>
            <w:proofErr w:type="spellStart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catether</w:t>
            </w:r>
            <w:proofErr w:type="spellEnd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, taking blood samples,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f)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getting swab from the nose, oral cavity, skin, thoracentesis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g)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 xml:space="preserve">urinary </w:t>
            </w:r>
            <w:proofErr w:type="spellStart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catherization</w:t>
            </w:r>
            <w:proofErr w:type="spellEnd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 xml:space="preserve"> (female and male), gastric lavage, 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h)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getting and interpretation of the ECG, electric cardioversion, defibrillation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i)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</w:r>
            <w:proofErr w:type="spellStart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measurments</w:t>
            </w:r>
            <w:proofErr w:type="spellEnd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 xml:space="preserve"> of blood glucose level by a glucometer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10.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Student plans basic treatment in acute poisoning.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11.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Monitors state of patient poisoned by a chemical substances or drugs. Identifies agony and patient’s death</w:t>
            </w:r>
          </w:p>
          <w:p w:rsidR="00711B52" w:rsidRPr="00711B52" w:rsidRDefault="00E83D8A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12.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ab/>
              <w:t>Runs</w:t>
            </w:r>
            <w:bookmarkStart w:id="3" w:name="_GoBack"/>
            <w:bookmarkEnd w:id="3"/>
            <w:r w:rsidR="00711B52" w:rsidRPr="00711B52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11B52" w:rsidRPr="00711B52">
              <w:rPr>
                <w:color w:val="000000" w:themeColor="text1"/>
                <w:sz w:val="20"/>
                <w:szCs w:val="20"/>
                <w:lang w:val="en-GB"/>
              </w:rPr>
              <w:t>patients</w:t>
            </w:r>
            <w:proofErr w:type="spellEnd"/>
            <w:r w:rsidR="00711B52" w:rsidRPr="00711B52">
              <w:rPr>
                <w:color w:val="000000" w:themeColor="text1"/>
                <w:sz w:val="20"/>
                <w:szCs w:val="20"/>
                <w:lang w:val="en-GB"/>
              </w:rPr>
              <w:t xml:space="preserve"> medical documentation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13.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>Works using aseptic and antiseptic principles.</w:t>
            </w:r>
          </w:p>
          <w:p w:rsidR="00711B52" w:rsidRPr="00711B52" w:rsidRDefault="00711B52" w:rsidP="00711B52">
            <w:pPr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14.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ab/>
              <w:t xml:space="preserve">Student gets venous </w:t>
            </w:r>
            <w:proofErr w:type="spellStart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catethers</w:t>
            </w:r>
            <w:proofErr w:type="spellEnd"/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, examines breasts, lymp</w:t>
            </w:r>
            <w:r w:rsidR="00E83D8A">
              <w:rPr>
                <w:color w:val="000000" w:themeColor="text1"/>
                <w:sz w:val="20"/>
                <w:szCs w:val="20"/>
                <w:lang w:val="en-GB"/>
              </w:rPr>
              <w:t>h nodes, thyroid gland and abdo</w:t>
            </w:r>
            <w:r w:rsidRPr="00711B52">
              <w:rPr>
                <w:color w:val="000000" w:themeColor="text1"/>
                <w:sz w:val="20"/>
                <w:szCs w:val="20"/>
                <w:lang w:val="en-GB"/>
              </w:rPr>
              <w:t>men, performs rectal examination, performs basic life support (BLS) using defibrillator and other emergency procedures. Student tries not to make any mistakes in his actions.</w:t>
            </w:r>
          </w:p>
          <w:p w:rsidR="00916B7B" w:rsidRPr="00EE2575" w:rsidRDefault="00916B7B" w:rsidP="009E7916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916B7B" w:rsidRPr="00C8543B" w:rsidRDefault="00916B7B" w:rsidP="00916B7B">
      <w:pPr>
        <w:ind w:left="426"/>
        <w:rPr>
          <w:lang w:val="en-GB"/>
        </w:rPr>
      </w:pPr>
      <w:r w:rsidRPr="00C8543B">
        <w:rPr>
          <w:b/>
          <w:sz w:val="20"/>
          <w:szCs w:val="20"/>
          <w:lang w:val="en-US" w:eastAsia="pl-PL"/>
        </w:rPr>
        <w:lastRenderedPageBreak/>
        <w:t>4.3 Education outcomes in the discipline</w:t>
      </w:r>
    </w:p>
    <w:p w:rsidR="00916B7B" w:rsidRPr="00EE2575" w:rsidRDefault="00916B7B" w:rsidP="00916B7B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916B7B" w:rsidRPr="00EE2575" w:rsidTr="007A665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6B7B" w:rsidRPr="0073495B" w:rsidRDefault="00916B7B" w:rsidP="009E7916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B" w:rsidRPr="0073495B" w:rsidRDefault="00916B7B" w:rsidP="009E7916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B" w:rsidRPr="00EE2575" w:rsidRDefault="00916B7B" w:rsidP="009E7916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916B7B" w:rsidRPr="0073495B" w:rsidRDefault="00916B7B" w:rsidP="009E7916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916B7B" w:rsidRPr="00EC12AF" w:rsidTr="007A665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B" w:rsidRPr="0073495B" w:rsidRDefault="00916B7B" w:rsidP="009E7916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BF54B3" w:rsidRPr="00BF54B3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BF54B3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conduct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a review of medical history of the adult patient;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conduct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full and targeted physical examination of the adult patient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E.U3.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assess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patient’s general condition, consciousness and awarene</w:t>
            </w:r>
            <w:r w:rsidR="00E83D8A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>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E.U7.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perform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differential diagnosis of the most common diseases in adults and children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E.U12.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assess and describe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E.U13.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recognize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states of a direct threat to life;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E.U14.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recognize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when a patient is under the influence of alcohol, drugs and other addictive products;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E.U15.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plan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diagnostic, therapeutic and preventive procedures;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E.U16.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conduct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analysis of the potential side effects of each drug and the interaction between them;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E.U17.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propose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individualization of existing guidelines and other therapeutic treatments in the case of non-effectiveness of or contraindications to standard therapy;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E.U18.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recognize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signs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of drug dependency and propose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a treatment procedure;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E.U19.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qualify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the patient for home treatment and hospitalization;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E.U20.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recognize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states in which functional status of the patient's or his/her preferences restrict the treatment in accordance with specific guidelines for the disease;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E.U21.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interpret laboratory test results and identify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the reasons for deviations;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E.U24.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BF54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apply dietary treatment with the consideration of 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>enteral and parenteral f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eeding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E.U25.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711B52" w:rsidRDefault="00BF54B3" w:rsidP="00711B52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plan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treatment in the case of exposure to infection transmitted through blood;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E.U26.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collect and secure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samples of material used in laboratory diagnostics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E.U28.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U18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>perform basic medical procedures and treatments, including: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 xml:space="preserve">1) measurement of body temperature, pulse measurement, non-invasive blood pressure measurement, 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 xml:space="preserve">2) monitoring of vital signs using a cardio-monitor or pulse oximetry, 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 xml:space="preserve">3) spirometry, oxygen therapy, assisted and control mode ventilation 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 xml:space="preserve">4) introduction of the oropharyngeal tube, 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 xml:space="preserve">6) collecting swabs from the nose, throat and skin, puncture of pleural cavity, 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 xml:space="preserve">7) catheterization of the urinary bladder in women and me, nasogastric intubation, gastric lavage, enema, </w:t>
            </w:r>
          </w:p>
          <w:p w:rsidR="00BF54B3" w:rsidRPr="00BF54B3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 xml:space="preserve">8) standard electrocardiogram along with its interpretation, cardioversion and </w:t>
            </w: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 xml:space="preserve">defibrillation of the heart, </w:t>
            </w:r>
          </w:p>
          <w:p w:rsidR="00916B7B" w:rsidRPr="00916B7B" w:rsidRDefault="00BF54B3" w:rsidP="00BF54B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54B3">
              <w:rPr>
                <w:rFonts w:eastAsia="Calibri"/>
                <w:sz w:val="20"/>
                <w:szCs w:val="20"/>
                <w:lang w:val="en-US" w:eastAsia="en-US"/>
              </w:rPr>
              <w:t>9) simple test strips and measuring the concentration of glucose in the blood;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lastRenderedPageBreak/>
              <w:t>E.U29.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lastRenderedPageBreak/>
              <w:t>U19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implement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the basic therapeutic procedure in acute poisoning;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E.U33.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916B7B" w:rsidRDefault="00BF54B3" w:rsidP="00916B7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monitor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the status of a patient poisoned by chemical substances or drugs;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E.U34.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recognize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the ago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ny of the patient and pronounce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him/her dead;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E.U37.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keep medical records of the patient;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E.U38.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comply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F.U3.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use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peripheral venous catheter;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F.U5.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examine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nipples, lymph nodes, thyroid gland and the abdominal cavity in term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s of acute abdomen, and perform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finger test through the anus;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F.U6.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perform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basic resuscitation with automated external defibrillator and other rescue activities and provides first aid;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F.U10.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6B7B" w:rsidRPr="005E6967" w:rsidRDefault="00BF54B3" w:rsidP="00916B7B">
            <w:pPr>
              <w:rPr>
                <w:color w:val="000000"/>
                <w:sz w:val="20"/>
                <w:szCs w:val="20"/>
                <w:lang w:val="en-US"/>
              </w:rPr>
            </w:pPr>
            <w:r w:rsidRPr="00BF54B3">
              <w:rPr>
                <w:color w:val="000000"/>
                <w:sz w:val="20"/>
                <w:szCs w:val="20"/>
                <w:lang w:val="en-US"/>
              </w:rPr>
              <w:t>act in such a way as to avoid medical errors;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BF54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G.U8</w:t>
            </w:r>
            <w:r w:rsidR="00916B7B" w:rsidRPr="005E69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916B7B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U28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BF54B3" w:rsidP="00BF54B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collect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blood for t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oxicological studies and secure</w:t>
            </w:r>
            <w:r w:rsidR="00916B7B" w:rsidRPr="005E6967">
              <w:rPr>
                <w:rFonts w:eastAsia="Calibri"/>
                <w:sz w:val="20"/>
                <w:szCs w:val="20"/>
                <w:lang w:val="en-US" w:eastAsia="en-US"/>
              </w:rPr>
              <w:t xml:space="preserve"> the mater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ial for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hemogenetic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research;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B7B" w:rsidRPr="005E6967" w:rsidRDefault="00916B7B" w:rsidP="00BF54B3">
            <w:pPr>
              <w:jc w:val="center"/>
              <w:rPr>
                <w:color w:val="000000"/>
                <w:sz w:val="20"/>
                <w:szCs w:val="20"/>
              </w:rPr>
            </w:pPr>
            <w:r w:rsidRPr="005E6967">
              <w:rPr>
                <w:color w:val="000000"/>
                <w:sz w:val="20"/>
                <w:szCs w:val="20"/>
              </w:rPr>
              <w:t>G</w:t>
            </w:r>
            <w:r w:rsidR="00BF54B3">
              <w:rPr>
                <w:color w:val="000000"/>
                <w:sz w:val="20"/>
                <w:szCs w:val="20"/>
              </w:rPr>
              <w:t>.U9</w:t>
            </w:r>
            <w:r w:rsidRPr="005E6967">
              <w:rPr>
                <w:color w:val="000000"/>
                <w:sz w:val="20"/>
                <w:szCs w:val="20"/>
              </w:rPr>
              <w:t>.</w:t>
            </w:r>
          </w:p>
        </w:tc>
      </w:tr>
      <w:tr w:rsidR="007A6653" w:rsidRPr="00EE2575" w:rsidTr="007A665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486CEF" w:rsidRDefault="0091067C" w:rsidP="00BF54B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486CEF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U29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653" w:rsidRPr="00486CEF" w:rsidRDefault="007A6653" w:rsidP="00BF54B3">
            <w:pPr>
              <w:spacing w:after="120"/>
              <w:rPr>
                <w:color w:val="000000" w:themeColor="text1"/>
                <w:sz w:val="20"/>
                <w:szCs w:val="20"/>
                <w:lang w:val="en-GB"/>
              </w:rPr>
            </w:pPr>
            <w:r w:rsidRPr="00486CEF">
              <w:rPr>
                <w:color w:val="000000" w:themeColor="text1"/>
                <w:sz w:val="20"/>
                <w:szCs w:val="20"/>
                <w:lang w:val="en-GB"/>
              </w:rPr>
              <w:t xml:space="preserve">observes </w:t>
            </w:r>
            <w:r w:rsidR="00BF54B3">
              <w:rPr>
                <w:color w:val="000000" w:themeColor="text1"/>
                <w:sz w:val="20"/>
                <w:szCs w:val="20"/>
                <w:lang w:val="en-GB"/>
              </w:rPr>
              <w:t>patients' rights;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653" w:rsidRPr="00486CEF" w:rsidRDefault="007A6653" w:rsidP="00BF54B3">
            <w:pPr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486CEF">
              <w:rPr>
                <w:rFonts w:ascii="Calibri" w:hAnsi="Calibri"/>
                <w:color w:val="000000" w:themeColor="text1"/>
                <w:lang w:eastAsia="pl-PL"/>
              </w:rPr>
              <w:t>D</w:t>
            </w:r>
            <w:r w:rsidR="00BF54B3">
              <w:rPr>
                <w:rFonts w:ascii="Calibri" w:hAnsi="Calibri"/>
                <w:color w:val="000000" w:themeColor="text1"/>
                <w:lang w:eastAsia="pl-PL"/>
              </w:rPr>
              <w:t>.U15.</w:t>
            </w:r>
          </w:p>
        </w:tc>
      </w:tr>
    </w:tbl>
    <w:tbl>
      <w:tblPr>
        <w:tblStyle w:val="TableGrid"/>
        <w:tblpPr w:leftFromText="141" w:rightFromText="141" w:vertAnchor="page" w:horzAnchor="margin" w:tblpY="588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9717A7" w:rsidRPr="00C54052" w:rsidTr="009717A7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717A7" w:rsidRPr="00C54052" w:rsidRDefault="009717A7" w:rsidP="009717A7">
            <w:pPr>
              <w:ind w:left="2014"/>
              <w:jc w:val="center"/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within</w:t>
            </w:r>
            <w:proofErr w:type="spellEnd"/>
            <w:r w:rsidRPr="00C54052">
              <w:rPr>
                <w:sz w:val="20"/>
                <w:szCs w:val="20"/>
              </w:rPr>
              <w:t xml:space="preserve"> the </w:t>
            </w:r>
            <w:proofErr w:type="spellStart"/>
            <w:r w:rsidRPr="00C54052">
              <w:rPr>
                <w:sz w:val="20"/>
                <w:szCs w:val="20"/>
              </w:rPr>
              <w:t>scope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r w:rsidRPr="00C54052">
              <w:rPr>
                <w:b/>
                <w:sz w:val="20"/>
                <w:szCs w:val="20"/>
              </w:rPr>
              <w:t>SOCIAL COMPETENCE</w:t>
            </w:r>
            <w:r w:rsidRPr="00C54052">
              <w:rPr>
                <w:sz w:val="20"/>
                <w:szCs w:val="20"/>
              </w:rPr>
              <w:t xml:space="preserve">, the </w:t>
            </w:r>
            <w:proofErr w:type="spellStart"/>
            <w:r w:rsidRPr="00C54052">
              <w:rPr>
                <w:sz w:val="20"/>
                <w:szCs w:val="20"/>
              </w:rPr>
              <w:t>graduate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able</w:t>
            </w:r>
            <w:proofErr w:type="spellEnd"/>
            <w:r w:rsidRPr="00C54052"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establish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maintain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deep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respectful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contact</w:t>
            </w:r>
            <w:proofErr w:type="spellEnd"/>
            <w:r w:rsidRPr="00C54052">
              <w:rPr>
                <w:sz w:val="20"/>
                <w:szCs w:val="20"/>
              </w:rPr>
              <w:t xml:space="preserve"> with the </w:t>
            </w:r>
            <w:proofErr w:type="spellStart"/>
            <w:r w:rsidRPr="00C54052">
              <w:rPr>
                <w:sz w:val="20"/>
                <w:szCs w:val="20"/>
              </w:rPr>
              <w:t>patient</w:t>
            </w:r>
            <w:proofErr w:type="spellEnd"/>
            <w:r w:rsidRPr="00C54052">
              <w:rPr>
                <w:sz w:val="20"/>
                <w:szCs w:val="20"/>
              </w:rPr>
              <w:t xml:space="preserve"> and show </w:t>
            </w:r>
            <w:proofErr w:type="spellStart"/>
            <w:r w:rsidRPr="00C54052">
              <w:rPr>
                <w:sz w:val="20"/>
                <w:szCs w:val="20"/>
              </w:rPr>
              <w:t>understanding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towards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ideological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cultural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differences</w:t>
            </w:r>
            <w:proofErr w:type="spellEnd"/>
            <w:r w:rsidRPr="00C54052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do </w:t>
            </w:r>
            <w:proofErr w:type="spellStart"/>
            <w:r w:rsidRPr="00C54052">
              <w:rPr>
                <w:sz w:val="20"/>
                <w:szCs w:val="20"/>
              </w:rPr>
              <w:t>what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right</w:t>
            </w:r>
            <w:proofErr w:type="spellEnd"/>
            <w:r w:rsidRPr="00C54052">
              <w:rPr>
                <w:sz w:val="20"/>
                <w:szCs w:val="20"/>
              </w:rPr>
              <w:t xml:space="preserve"> for the </w:t>
            </w:r>
            <w:proofErr w:type="spellStart"/>
            <w:r w:rsidRPr="00C54052">
              <w:rPr>
                <w:sz w:val="20"/>
                <w:szCs w:val="20"/>
              </w:rPr>
              <w:t>patient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respect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medical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confidentiality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patient’s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rights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take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actions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concerning</w:t>
            </w:r>
            <w:proofErr w:type="spellEnd"/>
            <w:r w:rsidRPr="00C54052">
              <w:rPr>
                <w:sz w:val="20"/>
                <w:szCs w:val="20"/>
              </w:rPr>
              <w:t xml:space="preserve"> the </w:t>
            </w:r>
            <w:proofErr w:type="spellStart"/>
            <w:r w:rsidRPr="00C54052">
              <w:rPr>
                <w:sz w:val="20"/>
                <w:szCs w:val="20"/>
              </w:rPr>
              <w:t>patient</w:t>
            </w:r>
            <w:proofErr w:type="spellEnd"/>
            <w:r w:rsidRPr="00C54052">
              <w:rPr>
                <w:sz w:val="20"/>
                <w:szCs w:val="20"/>
              </w:rPr>
              <w:t xml:space="preserve"> on the </w:t>
            </w:r>
            <w:proofErr w:type="spellStart"/>
            <w:r w:rsidRPr="00C54052">
              <w:rPr>
                <w:sz w:val="20"/>
                <w:szCs w:val="20"/>
              </w:rPr>
              <w:t>basis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ethical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principles</w:t>
            </w:r>
            <w:proofErr w:type="spellEnd"/>
            <w:r w:rsidRPr="00C54052">
              <w:rPr>
                <w:sz w:val="20"/>
                <w:szCs w:val="20"/>
              </w:rPr>
              <w:t xml:space="preserve">, </w:t>
            </w:r>
            <w:proofErr w:type="spellStart"/>
            <w:r w:rsidRPr="00C54052">
              <w:rPr>
                <w:sz w:val="20"/>
                <w:szCs w:val="20"/>
              </w:rPr>
              <w:t>being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aware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social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conditions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restrictions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resulting</w:t>
            </w:r>
            <w:proofErr w:type="spellEnd"/>
            <w:r w:rsidRPr="00C54052">
              <w:rPr>
                <w:sz w:val="20"/>
                <w:szCs w:val="20"/>
              </w:rPr>
              <w:t xml:space="preserve"> from </w:t>
            </w:r>
            <w:proofErr w:type="spellStart"/>
            <w:r w:rsidRPr="00C54052">
              <w:rPr>
                <w:sz w:val="20"/>
                <w:szCs w:val="20"/>
              </w:rPr>
              <w:t>illness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recognize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his</w:t>
            </w:r>
            <w:proofErr w:type="spellEnd"/>
            <w:r w:rsidRPr="00C54052">
              <w:rPr>
                <w:sz w:val="20"/>
                <w:szCs w:val="20"/>
              </w:rPr>
              <w:t>/</w:t>
            </w:r>
            <w:proofErr w:type="spellStart"/>
            <w:r w:rsidRPr="00C54052">
              <w:rPr>
                <w:sz w:val="20"/>
                <w:szCs w:val="20"/>
              </w:rPr>
              <w:t>her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limitations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self-evaluate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educational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deficiencies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needs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promote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healthy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lifestyle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use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reliable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information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sources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conclude</w:t>
            </w:r>
            <w:proofErr w:type="spellEnd"/>
            <w:r w:rsidRPr="00C54052">
              <w:rPr>
                <w:sz w:val="20"/>
                <w:szCs w:val="20"/>
              </w:rPr>
              <w:t xml:space="preserve"> on the </w:t>
            </w:r>
            <w:proofErr w:type="spellStart"/>
            <w:r w:rsidRPr="00C54052">
              <w:rPr>
                <w:sz w:val="20"/>
                <w:szCs w:val="20"/>
              </w:rPr>
              <w:t>basis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surveys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observations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introduce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rules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social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conduct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teamwork</w:t>
            </w:r>
            <w:proofErr w:type="spellEnd"/>
            <w:r w:rsidRPr="00C54052">
              <w:rPr>
                <w:sz w:val="20"/>
                <w:szCs w:val="20"/>
              </w:rPr>
              <w:t xml:space="preserve"> to the </w:t>
            </w:r>
            <w:proofErr w:type="spellStart"/>
            <w:r w:rsidRPr="00C54052">
              <w:rPr>
                <w:sz w:val="20"/>
                <w:szCs w:val="20"/>
              </w:rPr>
              <w:t>group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specialists</w:t>
            </w:r>
            <w:proofErr w:type="spellEnd"/>
            <w:r w:rsidRPr="00C54052">
              <w:rPr>
                <w:sz w:val="20"/>
                <w:szCs w:val="20"/>
              </w:rPr>
              <w:t xml:space="preserve">, </w:t>
            </w:r>
            <w:proofErr w:type="spellStart"/>
            <w:r w:rsidRPr="00C54052">
              <w:rPr>
                <w:sz w:val="20"/>
                <w:szCs w:val="20"/>
              </w:rPr>
              <w:t>including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specialists</w:t>
            </w:r>
            <w:proofErr w:type="spellEnd"/>
            <w:r w:rsidRPr="00C54052">
              <w:rPr>
                <w:sz w:val="20"/>
                <w:szCs w:val="20"/>
              </w:rPr>
              <w:t xml:space="preserve"> form </w:t>
            </w:r>
            <w:proofErr w:type="spellStart"/>
            <w:r w:rsidRPr="00C54052">
              <w:rPr>
                <w:sz w:val="20"/>
                <w:szCs w:val="20"/>
              </w:rPr>
              <w:t>other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medical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professions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also</w:t>
            </w:r>
            <w:proofErr w:type="spellEnd"/>
            <w:r w:rsidRPr="00C54052">
              <w:rPr>
                <w:sz w:val="20"/>
                <w:szCs w:val="20"/>
              </w:rPr>
              <w:t xml:space="preserve"> in the </w:t>
            </w:r>
            <w:proofErr w:type="spellStart"/>
            <w:r w:rsidRPr="00C54052">
              <w:rPr>
                <w:sz w:val="20"/>
                <w:szCs w:val="20"/>
              </w:rPr>
              <w:t>multicultural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multinational</w:t>
            </w:r>
            <w:proofErr w:type="spellEnd"/>
            <w:r w:rsidRPr="00C54052">
              <w:rPr>
                <w:sz w:val="20"/>
                <w:szCs w:val="20"/>
              </w:rPr>
              <w:t xml:space="preserve">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give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opinions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concerning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various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aspects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professional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activity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9717A7" w:rsidRPr="00C54052" w:rsidTr="009717A7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take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responsibility</w:t>
            </w:r>
            <w:proofErr w:type="spellEnd"/>
            <w:r w:rsidRPr="00C54052">
              <w:rPr>
                <w:sz w:val="20"/>
                <w:szCs w:val="20"/>
              </w:rPr>
              <w:t xml:space="preserve"> for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decisions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made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during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professional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activities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including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own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safety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safety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other</w:t>
            </w:r>
            <w:proofErr w:type="spellEnd"/>
            <w:r w:rsidRPr="00C54052">
              <w:rPr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sz w:val="20"/>
                <w:szCs w:val="20"/>
              </w:rPr>
              <w:t>people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A7" w:rsidRPr="00C54052" w:rsidRDefault="009717A7" w:rsidP="009717A7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7A6653" w:rsidRDefault="007A6653"/>
    <w:p w:rsidR="009717A7" w:rsidRDefault="009717A7"/>
    <w:p w:rsidR="009717A7" w:rsidRDefault="009717A7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1036"/>
        <w:gridCol w:w="379"/>
        <w:gridCol w:w="379"/>
        <w:gridCol w:w="376"/>
        <w:gridCol w:w="1134"/>
      </w:tblGrid>
      <w:tr w:rsidR="007A6653" w:rsidRPr="0099430E" w:rsidTr="007A6653">
        <w:trPr>
          <w:trHeight w:val="284"/>
        </w:trPr>
        <w:tc>
          <w:tcPr>
            <w:tcW w:w="970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7A6653" w:rsidRPr="007A6653" w:rsidRDefault="007A6653" w:rsidP="007A6653">
            <w:pPr>
              <w:rPr>
                <w:rFonts w:eastAsia="Arial Unicode MS"/>
                <w:b/>
                <w:color w:val="000000" w:themeColor="text1"/>
                <w:sz w:val="18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8"/>
                <w:szCs w:val="16"/>
                <w:lang w:val="en-GB" w:eastAsia="pl-PL"/>
              </w:rPr>
              <w:t>4.4.</w:t>
            </w:r>
            <w:r w:rsidRPr="007A6653">
              <w:rPr>
                <w:rFonts w:eastAsia="Arial Unicode MS"/>
                <w:b/>
                <w:color w:val="000000" w:themeColor="text1"/>
                <w:sz w:val="18"/>
                <w:szCs w:val="16"/>
                <w:lang w:val="en-GB" w:eastAsia="pl-PL"/>
              </w:rPr>
              <w:tab/>
              <w:t>Methods of assessment of the intended teaching outcomes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Teaching</w:t>
            </w:r>
          </w:p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outcome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7A6653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Practical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653" w:rsidRPr="007A6653" w:rsidRDefault="007A6653" w:rsidP="007A6653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7A6653" w:rsidRDefault="007A6653" w:rsidP="007A6653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1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</w:p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(hospital)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35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7A6653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6653" w:rsidRPr="007A6653" w:rsidRDefault="007A6653" w:rsidP="007A6653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lastRenderedPageBreak/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7A6653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E41D44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C" w:rsidRDefault="0091067C" w:rsidP="0091067C">
            <w:pPr>
              <w:jc w:val="center"/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E41D44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C" w:rsidRDefault="0091067C" w:rsidP="0091067C">
            <w:pPr>
              <w:jc w:val="center"/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C9620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C" w:rsidRDefault="0091067C" w:rsidP="0091067C">
            <w:pPr>
              <w:jc w:val="center"/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C9620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C" w:rsidRDefault="0091067C" w:rsidP="0091067C">
            <w:pPr>
              <w:jc w:val="center"/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C9620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C" w:rsidRDefault="0091067C" w:rsidP="0091067C">
            <w:pPr>
              <w:jc w:val="center"/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C9620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C" w:rsidRDefault="0091067C" w:rsidP="0091067C">
            <w:pPr>
              <w:jc w:val="center"/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1067C" w:rsidRPr="007A6653" w:rsidTr="00C9620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7C" w:rsidRPr="007A6653" w:rsidRDefault="0091067C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7A6653"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U0</w:t>
            </w: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29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67C" w:rsidRPr="007A6653" w:rsidRDefault="0091067C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EC12AF" w:rsidRPr="007A6653" w:rsidTr="00C9620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F" w:rsidRPr="007A6653" w:rsidRDefault="00EC12AF" w:rsidP="0091067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12AF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12AF" w:rsidRPr="007A6653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C12AF" w:rsidRDefault="00EC12AF" w:rsidP="0091067C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916B7B" w:rsidRPr="009717A7" w:rsidRDefault="007A6653">
      <w:pPr>
        <w:rPr>
          <w:b/>
          <w:i/>
          <w:color w:val="FF0000"/>
          <w:sz w:val="18"/>
          <w:szCs w:val="18"/>
          <w:lang w:val="en-GB"/>
        </w:rPr>
      </w:pPr>
      <w:r w:rsidRPr="007A6653">
        <w:rPr>
          <w:b/>
          <w:i/>
          <w:color w:val="FF0000"/>
          <w:sz w:val="18"/>
          <w:szCs w:val="18"/>
          <w:lang w:val="en-GB"/>
        </w:rPr>
        <w:t>*delete as appropriate</w:t>
      </w:r>
    </w:p>
    <w:p w:rsidR="00711B52" w:rsidRPr="008B2D45" w:rsidRDefault="00711B52" w:rsidP="008B2D45">
      <w:pPr>
        <w:tabs>
          <w:tab w:val="left" w:pos="3870"/>
        </w:tabs>
        <w:rPr>
          <w:b/>
          <w:sz w:val="20"/>
          <w:szCs w:val="20"/>
          <w:lang w:val="en-US"/>
        </w:rPr>
      </w:pPr>
    </w:p>
    <w:tbl>
      <w:tblPr>
        <w:tblW w:w="46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701"/>
        <w:gridCol w:w="2406"/>
        <w:gridCol w:w="558"/>
        <w:gridCol w:w="1274"/>
      </w:tblGrid>
      <w:tr w:rsidR="008B2D45" w:rsidRPr="00EC12AF" w:rsidTr="008B2D45">
        <w:tc>
          <w:tcPr>
            <w:tcW w:w="4365" w:type="pct"/>
            <w:gridSpan w:val="4"/>
          </w:tcPr>
          <w:p w:rsidR="008B2D45" w:rsidRPr="008B2D45" w:rsidRDefault="008B2D45" w:rsidP="00B92FC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B2D45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4.5. Criteria of assessment of the intended teaching outcomes</w:t>
            </w:r>
          </w:p>
        </w:tc>
        <w:tc>
          <w:tcPr>
            <w:tcW w:w="635" w:type="pct"/>
          </w:tcPr>
          <w:p w:rsidR="008B2D45" w:rsidRPr="008B2D45" w:rsidRDefault="008B2D45" w:rsidP="00B92FC0">
            <w:pPr>
              <w:rPr>
                <w:sz w:val="20"/>
                <w:szCs w:val="20"/>
                <w:lang w:val="en-US"/>
              </w:rPr>
            </w:pP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Number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points</w:t>
            </w:r>
            <w:proofErr w:type="spellEnd"/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Conducting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medical</w:t>
            </w:r>
            <w:proofErr w:type="spellEnd"/>
            <w:r w:rsidRPr="005E6967">
              <w:rPr>
                <w:sz w:val="20"/>
                <w:szCs w:val="20"/>
              </w:rPr>
              <w:t xml:space="preserve"> interview.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Conducting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physical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examination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Keeping the differential diagnosis of the most common diseases.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Interpretation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laboratory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tests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Assessment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patient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condition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Planning diagnostic, preventive and therapeutic proceedings as well as specialist consultations.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Execution of the procedures and medical treatments.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Take preventive and curative activities in a life-threatening situation.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Keeping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good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medical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records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jc w:val="right"/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Total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100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Satisfactory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51-60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More than satisfactory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61-70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Good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71-80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More than good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81-90</w:t>
            </w:r>
          </w:p>
        </w:tc>
      </w:tr>
      <w:tr w:rsidR="00711B52" w:rsidRPr="005E6967" w:rsidTr="008B2D45">
        <w:tc>
          <w:tcPr>
            <w:tcW w:w="4365" w:type="pct"/>
            <w:gridSpan w:val="4"/>
          </w:tcPr>
          <w:p w:rsidR="00711B52" w:rsidRPr="005E6967" w:rsidRDefault="00711B52" w:rsidP="00B92FC0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Very good</w:t>
            </w:r>
          </w:p>
        </w:tc>
        <w:tc>
          <w:tcPr>
            <w:tcW w:w="635" w:type="pct"/>
          </w:tcPr>
          <w:p w:rsidR="00711B52" w:rsidRPr="005E6967" w:rsidRDefault="00711B52" w:rsidP="00B92FC0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91-100</w:t>
            </w:r>
          </w:p>
        </w:tc>
      </w:tr>
      <w:tr w:rsidR="00711B52" w:rsidRPr="005E6967" w:rsidTr="008B2D45">
        <w:trPr>
          <w:trHeight w:val="440"/>
        </w:trPr>
        <w:tc>
          <w:tcPr>
            <w:tcW w:w="5000" w:type="pct"/>
            <w:gridSpan w:val="5"/>
          </w:tcPr>
          <w:p w:rsidR="00711B52" w:rsidRPr="005E6967" w:rsidRDefault="00711B52" w:rsidP="00B92FC0">
            <w:pPr>
              <w:jc w:val="center"/>
              <w:rPr>
                <w:b/>
                <w:sz w:val="20"/>
                <w:szCs w:val="20"/>
              </w:rPr>
            </w:pPr>
            <w:r w:rsidRPr="005E6967">
              <w:rPr>
                <w:b/>
                <w:sz w:val="20"/>
                <w:szCs w:val="20"/>
                <w:lang w:val="en-GB"/>
              </w:rPr>
              <w:t>Evaluation methods</w:t>
            </w:r>
          </w:p>
        </w:tc>
      </w:tr>
      <w:tr w:rsidR="00711B52" w:rsidRPr="005E6967" w:rsidTr="008B2D45">
        <w:tc>
          <w:tcPr>
            <w:tcW w:w="1542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Daily clinical assessment (evaluation procedure for each procedure)</w:t>
            </w:r>
          </w:p>
        </w:tc>
        <w:tc>
          <w:tcPr>
            <w:tcW w:w="1346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A single direct observation (observation while receiving one patient)</w:t>
            </w:r>
          </w:p>
        </w:tc>
        <w:tc>
          <w:tcPr>
            <w:tcW w:w="1199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Long-term observation (total evaluation of many aspects of competence for a long time)</w:t>
            </w:r>
          </w:p>
        </w:tc>
        <w:tc>
          <w:tcPr>
            <w:tcW w:w="913" w:type="pct"/>
            <w:gridSpan w:val="2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Self-assessment</w:t>
            </w:r>
            <w:proofErr w:type="spellEnd"/>
            <w:r w:rsidRPr="005E6967">
              <w:rPr>
                <w:sz w:val="20"/>
                <w:szCs w:val="20"/>
              </w:rPr>
              <w:t xml:space="preserve"> of student</w:t>
            </w:r>
          </w:p>
        </w:tc>
      </w:tr>
      <w:tr w:rsidR="00711B52" w:rsidRPr="005E6967" w:rsidTr="008B2D45">
        <w:tc>
          <w:tcPr>
            <w:tcW w:w="1542" w:type="pct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X</w:t>
            </w:r>
          </w:p>
        </w:tc>
        <w:tc>
          <w:tcPr>
            <w:tcW w:w="1346" w:type="pct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X</w:t>
            </w:r>
          </w:p>
        </w:tc>
        <w:tc>
          <w:tcPr>
            <w:tcW w:w="913" w:type="pct"/>
            <w:gridSpan w:val="2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X</w:t>
            </w:r>
          </w:p>
        </w:tc>
      </w:tr>
      <w:tr w:rsidR="00711B52" w:rsidRPr="00EC12AF" w:rsidTr="008B2D45">
        <w:tc>
          <w:tcPr>
            <w:tcW w:w="1542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Overview of record (stimulated assessment based on the patient card)</w:t>
            </w:r>
          </w:p>
        </w:tc>
        <w:tc>
          <w:tcPr>
            <w:tcW w:w="1346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Critical summation assessment of the task (use of biomedical knowledge in making optimal decisions)</w:t>
            </w:r>
          </w:p>
        </w:tc>
        <w:tc>
          <w:tcPr>
            <w:tcW w:w="1199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360-Degree Assessment (evaluation by members of the clinical team and patients)</w:t>
            </w:r>
          </w:p>
        </w:tc>
        <w:tc>
          <w:tcPr>
            <w:tcW w:w="913" w:type="pct"/>
            <w:gridSpan w:val="2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Triple Jump</w:t>
            </w:r>
          </w:p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Exercise -TJE:</w:t>
            </w:r>
          </w:p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 xml:space="preserve"> 1. gathering medical information</w:t>
            </w:r>
          </w:p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2. description of actions</w:t>
            </w:r>
          </w:p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3. oral exam</w:t>
            </w:r>
          </w:p>
        </w:tc>
      </w:tr>
      <w:tr w:rsidR="00711B52" w:rsidRPr="005E6967" w:rsidTr="008B2D45">
        <w:tc>
          <w:tcPr>
            <w:tcW w:w="1542" w:type="pct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X</w:t>
            </w:r>
          </w:p>
        </w:tc>
        <w:tc>
          <w:tcPr>
            <w:tcW w:w="1346" w:type="pct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</w:tcPr>
          <w:p w:rsidR="00711B52" w:rsidRPr="005E6967" w:rsidRDefault="00711B52" w:rsidP="00B92FC0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11B52" w:rsidRPr="005E6967" w:rsidTr="008B2D45">
        <w:trPr>
          <w:trHeight w:val="1298"/>
        </w:trPr>
        <w:tc>
          <w:tcPr>
            <w:tcW w:w="1542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lastRenderedPageBreak/>
              <w:t>The Clinical Competency Examination – performance of certain tasks and procedures in a patient in a clinical conditions)</w:t>
            </w:r>
          </w:p>
        </w:tc>
        <w:tc>
          <w:tcPr>
            <w:tcW w:w="1346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Objective Structured Clinical Examination (OSCE)</w:t>
            </w:r>
          </w:p>
        </w:tc>
        <w:tc>
          <w:tcPr>
            <w:tcW w:w="1199" w:type="pct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Other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Assessment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913" w:type="pct"/>
            <w:gridSpan w:val="2"/>
          </w:tcPr>
          <w:p w:rsidR="00711B52" w:rsidRPr="005E6967" w:rsidRDefault="00711B52" w:rsidP="00B92FC0">
            <w:pPr>
              <w:contextualSpacing/>
              <w:rPr>
                <w:sz w:val="20"/>
                <w:szCs w:val="20"/>
              </w:rPr>
            </w:pPr>
          </w:p>
        </w:tc>
      </w:tr>
    </w:tbl>
    <w:p w:rsidR="00711B52" w:rsidRDefault="00711B52">
      <w:pPr>
        <w:spacing w:after="160" w:line="259" w:lineRule="auto"/>
        <w:rPr>
          <w:b/>
          <w:sz w:val="20"/>
          <w:szCs w:val="20"/>
          <w:lang w:val="en-GB"/>
        </w:rPr>
      </w:pPr>
    </w:p>
    <w:p w:rsidR="00711B52" w:rsidRDefault="00711B52">
      <w:pPr>
        <w:spacing w:after="160" w:line="259" w:lineRule="auto"/>
        <w:rPr>
          <w:b/>
          <w:sz w:val="20"/>
          <w:szCs w:val="20"/>
          <w:lang w:val="en-GB"/>
        </w:rPr>
      </w:pPr>
    </w:p>
    <w:p w:rsidR="00916B7B" w:rsidRPr="00711B52" w:rsidRDefault="00916B7B" w:rsidP="003464CD">
      <w:pPr>
        <w:pStyle w:val="Akapitzlist"/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711B52">
        <w:rPr>
          <w:b/>
          <w:sz w:val="20"/>
          <w:szCs w:val="20"/>
          <w:lang w:val="en-GB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916B7B" w:rsidRPr="00EE2575" w:rsidTr="009E7916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B7B" w:rsidRPr="00EE2575" w:rsidRDefault="00916B7B" w:rsidP="009E791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B7B" w:rsidRPr="00EE2575" w:rsidRDefault="00916B7B" w:rsidP="009E791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2F161D" w:rsidRPr="00EE2575" w:rsidTr="003C0FB3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2F161D" w:rsidRPr="00EE2575" w:rsidRDefault="002F161D" w:rsidP="009E7916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2F161D" w:rsidRPr="00EE2575" w:rsidTr="00D9075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61D" w:rsidRPr="00EE2575" w:rsidRDefault="002F161D" w:rsidP="002F161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120</w:t>
            </w:r>
          </w:p>
        </w:tc>
      </w:tr>
      <w:tr w:rsidR="002F161D" w:rsidRPr="00EE2575" w:rsidTr="00F660A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C12AF" w:rsidTr="00F14D1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C12AF" w:rsidTr="00976B7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E2575" w:rsidTr="00684AF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C12AF" w:rsidTr="00E273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161D" w:rsidRPr="00EE2575" w:rsidRDefault="002F161D" w:rsidP="009E7916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E2575" w:rsidTr="002C459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C12AF" w:rsidTr="004E3C0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C12AF" w:rsidTr="00BA376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C12AF" w:rsidTr="009962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E2575" w:rsidTr="002C561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E2575" w:rsidTr="00DD21F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61D" w:rsidRPr="00EE2575" w:rsidRDefault="002F161D" w:rsidP="009E7916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2F161D" w:rsidRPr="00EE2575" w:rsidTr="00B3663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161D" w:rsidRPr="00EE2575" w:rsidRDefault="002F161D" w:rsidP="009E791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61D" w:rsidRPr="00EE2575" w:rsidRDefault="002F161D" w:rsidP="002F161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120</w:t>
            </w:r>
          </w:p>
        </w:tc>
      </w:tr>
      <w:tr w:rsidR="002F161D" w:rsidRPr="00EE2575" w:rsidTr="00125BB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161D" w:rsidRPr="00EE2575" w:rsidRDefault="002F161D" w:rsidP="009E7916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161D" w:rsidRPr="00EE2575" w:rsidRDefault="002F161D" w:rsidP="002F161D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</w:p>
        </w:tc>
      </w:tr>
    </w:tbl>
    <w:p w:rsidR="00916B7B" w:rsidRPr="00EE2575" w:rsidRDefault="00916B7B" w:rsidP="00916B7B">
      <w:pPr>
        <w:ind w:left="720"/>
        <w:rPr>
          <w:sz w:val="16"/>
          <w:szCs w:val="16"/>
          <w:lang w:val="en-GB"/>
        </w:rPr>
      </w:pPr>
    </w:p>
    <w:p w:rsidR="00916B7B" w:rsidRDefault="00916B7B" w:rsidP="00916B7B">
      <w:pPr>
        <w:rPr>
          <w:b/>
          <w:i/>
          <w:sz w:val="18"/>
          <w:szCs w:val="18"/>
          <w:lang w:val="en-GB"/>
        </w:rPr>
      </w:pPr>
    </w:p>
    <w:p w:rsidR="00916B7B" w:rsidRPr="00114080" w:rsidRDefault="00916B7B" w:rsidP="00916B7B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916B7B" w:rsidRDefault="00916B7B" w:rsidP="00916B7B">
      <w:pPr>
        <w:ind w:left="1416"/>
        <w:rPr>
          <w:i/>
          <w:sz w:val="16"/>
          <w:szCs w:val="16"/>
          <w:lang w:val="en-GB"/>
        </w:rPr>
      </w:pPr>
    </w:p>
    <w:p w:rsidR="00916B7B" w:rsidRPr="00EE2575" w:rsidRDefault="00916B7B" w:rsidP="00916B7B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sectPr w:rsidR="00916B7B" w:rsidRPr="00EE2575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5D" w:rsidRDefault="00D07E5D">
      <w:r>
        <w:separator/>
      </w:r>
    </w:p>
  </w:endnote>
  <w:endnote w:type="continuationSeparator" w:id="0">
    <w:p w:rsidR="00D07E5D" w:rsidRDefault="00D0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5D" w:rsidRDefault="00D07E5D">
      <w:r>
        <w:separator/>
      </w:r>
    </w:p>
  </w:footnote>
  <w:footnote w:type="continuationSeparator" w:id="0">
    <w:p w:rsidR="00D07E5D" w:rsidRDefault="00D0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D07E5D" w:rsidP="008E4CED">
    <w:pPr>
      <w:jc w:val="right"/>
      <w:rPr>
        <w:b/>
        <w:sz w:val="16"/>
        <w:szCs w:val="16"/>
        <w:lang w:val="en-GB"/>
      </w:rPr>
    </w:pPr>
  </w:p>
  <w:p w:rsidR="00A915F3" w:rsidRDefault="00D07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B7B"/>
    <w:rsid w:val="0006222D"/>
    <w:rsid w:val="00081E86"/>
    <w:rsid w:val="000B7E68"/>
    <w:rsid w:val="00120508"/>
    <w:rsid w:val="002F161D"/>
    <w:rsid w:val="00330C7A"/>
    <w:rsid w:val="003464CD"/>
    <w:rsid w:val="00486CEF"/>
    <w:rsid w:val="004A2E5B"/>
    <w:rsid w:val="006935C3"/>
    <w:rsid w:val="00711B52"/>
    <w:rsid w:val="007A6653"/>
    <w:rsid w:val="00802E13"/>
    <w:rsid w:val="00862F44"/>
    <w:rsid w:val="008B2D45"/>
    <w:rsid w:val="0091067C"/>
    <w:rsid w:val="00916B7B"/>
    <w:rsid w:val="009717A7"/>
    <w:rsid w:val="0099430E"/>
    <w:rsid w:val="00A171A8"/>
    <w:rsid w:val="00B53B01"/>
    <w:rsid w:val="00BF54B3"/>
    <w:rsid w:val="00D07E5D"/>
    <w:rsid w:val="00E83D8A"/>
    <w:rsid w:val="00EC12AF"/>
    <w:rsid w:val="00F9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20832"/>
  <w15:docId w15:val="{4DA439A5-91AD-4F40-BB0D-D5DDFCA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B7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711B52"/>
    <w:pPr>
      <w:ind w:left="720"/>
      <w:contextualSpacing/>
    </w:pPr>
  </w:style>
  <w:style w:type="table" w:customStyle="1" w:styleId="TableGrid">
    <w:name w:val="TableGrid"/>
    <w:rsid w:val="009717A7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18</cp:revision>
  <dcterms:created xsi:type="dcterms:W3CDTF">2018-01-15T12:34:00Z</dcterms:created>
  <dcterms:modified xsi:type="dcterms:W3CDTF">2024-03-27T08:08:00Z</dcterms:modified>
</cp:coreProperties>
</file>